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6A2C" w14:textId="77777777" w:rsidR="00AA30FF" w:rsidRDefault="00AA30FF" w:rsidP="00AA30FF">
      <w:pPr>
        <w:pStyle w:val="Header"/>
        <w:rPr>
          <w:rFonts w:asciiTheme="minorHAnsi" w:hAnsiTheme="minorHAnsi" w:cstheme="minorHAnsi"/>
          <w:b/>
          <w:bCs/>
          <w:sz w:val="36"/>
          <w:szCs w:val="40"/>
        </w:rPr>
      </w:pPr>
    </w:p>
    <w:p w14:paraId="46DE1ED5" w14:textId="77777777" w:rsidR="00AA30FF" w:rsidRPr="00F95F27" w:rsidRDefault="00AA30FF" w:rsidP="00AA30FF">
      <w:pPr>
        <w:pStyle w:val="Header"/>
        <w:jc w:val="center"/>
        <w:rPr>
          <w:rFonts w:asciiTheme="minorHAnsi" w:hAnsiTheme="minorHAnsi" w:cstheme="minorHAnsi"/>
          <w:b/>
          <w:bCs/>
          <w:sz w:val="36"/>
          <w:szCs w:val="40"/>
        </w:rPr>
      </w:pPr>
      <w:r w:rsidRPr="00F95F27">
        <w:rPr>
          <w:rFonts w:asciiTheme="minorHAnsi" w:hAnsiTheme="minorHAnsi" w:cstheme="minorHAnsi"/>
          <w:b/>
          <w:bCs/>
          <w:sz w:val="36"/>
          <w:szCs w:val="40"/>
        </w:rPr>
        <w:t xml:space="preserve">PROPOSED ZONING </w:t>
      </w:r>
      <w:r>
        <w:rPr>
          <w:rFonts w:asciiTheme="minorHAnsi" w:hAnsiTheme="minorHAnsi" w:cstheme="minorHAnsi"/>
          <w:b/>
          <w:bCs/>
          <w:sz w:val="36"/>
          <w:szCs w:val="40"/>
        </w:rPr>
        <w:t>AMENDMENT</w:t>
      </w:r>
    </w:p>
    <w:p w14:paraId="5251AD2A" w14:textId="77777777" w:rsidR="00AA30FF" w:rsidRPr="00F95F27" w:rsidRDefault="00AA30FF" w:rsidP="00AA30FF">
      <w:pPr>
        <w:pStyle w:val="Header"/>
        <w:jc w:val="center"/>
        <w:rPr>
          <w:rFonts w:asciiTheme="minorHAnsi" w:hAnsiTheme="minorHAnsi" w:cstheme="minorHAnsi"/>
          <w:b/>
          <w:bCs/>
          <w:sz w:val="36"/>
          <w:szCs w:val="28"/>
        </w:rPr>
      </w:pPr>
      <w:r>
        <w:rPr>
          <w:rFonts w:asciiTheme="minorHAnsi" w:hAnsiTheme="minorHAnsi" w:cstheme="minorHAnsi"/>
          <w:b/>
          <w:bCs/>
          <w:sz w:val="36"/>
          <w:szCs w:val="28"/>
        </w:rPr>
        <w:t>CREATE NEW SECTION 5.7</w:t>
      </w:r>
    </w:p>
    <w:p w14:paraId="226D11A8" w14:textId="77777777" w:rsidR="00AA30FF" w:rsidRPr="00F95F27" w:rsidRDefault="00AA30FF" w:rsidP="00AA30FF">
      <w:pPr>
        <w:pStyle w:val="Header"/>
        <w:rPr>
          <w:b/>
          <w:bCs/>
        </w:rPr>
      </w:pPr>
    </w:p>
    <w:p w14:paraId="4D4B1500" w14:textId="77777777" w:rsidR="00AA30FF" w:rsidRPr="00F95F27" w:rsidRDefault="00AA30FF" w:rsidP="00AA30FF">
      <w:pPr>
        <w:pStyle w:val="Header"/>
        <w:jc w:val="both"/>
        <w:rPr>
          <w:b/>
          <w:bCs/>
        </w:rPr>
      </w:pPr>
    </w:p>
    <w:p w14:paraId="547178F7" w14:textId="77777777" w:rsidR="00122149" w:rsidRDefault="00AA30FF" w:rsidP="00AA30FF">
      <w:pPr>
        <w:pStyle w:val="Header"/>
        <w:jc w:val="both"/>
        <w:rPr>
          <w:rFonts w:asciiTheme="minorHAnsi" w:hAnsiTheme="minorHAnsi" w:cstheme="minorHAnsi"/>
          <w:sz w:val="24"/>
        </w:rPr>
      </w:pPr>
      <w:r w:rsidRPr="00F95F27">
        <w:rPr>
          <w:rFonts w:asciiTheme="minorHAnsi" w:hAnsiTheme="minorHAnsi" w:cstheme="minorHAnsi"/>
          <w:b/>
          <w:bCs/>
          <w:sz w:val="24"/>
        </w:rPr>
        <w:t xml:space="preserve">Reasons: </w:t>
      </w:r>
      <w:r w:rsidRPr="00F95F27">
        <w:rPr>
          <w:rFonts w:asciiTheme="minorHAnsi" w:hAnsiTheme="minorHAnsi" w:cstheme="minorHAnsi"/>
          <w:sz w:val="24"/>
        </w:rPr>
        <w:t xml:space="preserve">The Business Zones Subcommittee of the Planning &amp; Zoning Commission has been evaluating potential zoning changes that will improve and enhance Ridgefield’s business zoning districts, in light of the ways business, particularly brick and mortar establishments have changed during the pandemic. One suggested zoning revision from the Subcommittee is to </w:t>
      </w:r>
      <w:r>
        <w:rPr>
          <w:rFonts w:asciiTheme="minorHAnsi" w:hAnsiTheme="minorHAnsi" w:cstheme="minorHAnsi"/>
          <w:sz w:val="24"/>
        </w:rPr>
        <w:t xml:space="preserve">allow residential units on the first floor and basement levels of buildings in a newly created Downtown Residential Overlay Zone. This new overlay zone encompasses parts of the Central Business District (CBD) that are on the periphery of the zone (portions of Bailey Avenue, Prospect Street, Governor Street and Grove Street) and may not be able to draw the same level of foot traffic and customer base as commercial businesses on Main Street. </w:t>
      </w:r>
    </w:p>
    <w:p w14:paraId="203A7F03" w14:textId="77777777" w:rsidR="00122149" w:rsidRDefault="00122149" w:rsidP="00AA30FF">
      <w:pPr>
        <w:pStyle w:val="Header"/>
        <w:jc w:val="both"/>
        <w:rPr>
          <w:rFonts w:asciiTheme="minorHAnsi" w:hAnsiTheme="minorHAnsi" w:cstheme="minorHAnsi"/>
          <w:sz w:val="24"/>
        </w:rPr>
      </w:pPr>
    </w:p>
    <w:p w14:paraId="7F27636A" w14:textId="77777777" w:rsidR="00AA30FF" w:rsidRDefault="00AA30FF" w:rsidP="00AA30FF">
      <w:pPr>
        <w:pStyle w:val="Header"/>
        <w:jc w:val="both"/>
        <w:rPr>
          <w:rFonts w:asciiTheme="minorHAnsi" w:hAnsiTheme="minorHAnsi" w:cstheme="minorHAnsi"/>
          <w:sz w:val="24"/>
        </w:rPr>
      </w:pPr>
      <w:r>
        <w:rPr>
          <w:rFonts w:asciiTheme="minorHAnsi" w:hAnsiTheme="minorHAnsi" w:cstheme="minorHAnsi"/>
          <w:sz w:val="24"/>
        </w:rPr>
        <w:t xml:space="preserve">As a result, the Subcommittee had recommended allowing these properties within the new overlay zone </w:t>
      </w:r>
      <w:r w:rsidR="00122149">
        <w:rPr>
          <w:rFonts w:asciiTheme="minorHAnsi" w:hAnsiTheme="minorHAnsi" w:cstheme="minorHAnsi"/>
          <w:sz w:val="24"/>
        </w:rPr>
        <w:t xml:space="preserve">to have the flexibility to choose to utilize first floor and basement level residential where it is otherwise not permitted in the CBD. The Commission believes this option gives property owners a choice in how to best utilize their building space based on shifting market demands, will pretend extended vacancies that take away from the vibrancy of downtown and allow more residents to live in the walkable downtown, where they will add to the customer base and patronize local businesses. </w:t>
      </w:r>
    </w:p>
    <w:p w14:paraId="251DC4BB" w14:textId="77777777" w:rsidR="00AA30FF" w:rsidRDefault="00AA30FF" w:rsidP="00AA30FF">
      <w:pPr>
        <w:pStyle w:val="Header"/>
        <w:jc w:val="both"/>
        <w:rPr>
          <w:rFonts w:asciiTheme="minorHAnsi" w:hAnsiTheme="minorHAnsi" w:cstheme="minorHAnsi"/>
          <w:sz w:val="24"/>
        </w:rPr>
      </w:pPr>
    </w:p>
    <w:p w14:paraId="02111114" w14:textId="77777777" w:rsidR="00AA30FF" w:rsidRPr="00F95F27" w:rsidRDefault="00AA30FF" w:rsidP="00AA30FF">
      <w:pPr>
        <w:pStyle w:val="Header"/>
        <w:jc w:val="both"/>
        <w:rPr>
          <w:rFonts w:asciiTheme="minorHAnsi" w:hAnsiTheme="minorHAnsi" w:cstheme="minorHAnsi"/>
          <w:b/>
          <w:bCs/>
          <w:sz w:val="24"/>
        </w:rPr>
      </w:pPr>
    </w:p>
    <w:p w14:paraId="63C8E941" w14:textId="77777777" w:rsidR="00AA30FF" w:rsidRDefault="00AA30FF" w:rsidP="00AA30FF">
      <w:pPr>
        <w:pStyle w:val="Header"/>
        <w:rPr>
          <w:rFonts w:asciiTheme="minorHAnsi" w:hAnsiTheme="minorHAnsi" w:cstheme="minorHAnsi"/>
          <w:bCs/>
          <w:sz w:val="24"/>
        </w:rPr>
      </w:pPr>
      <w:r w:rsidRPr="00F95F27">
        <w:rPr>
          <w:rFonts w:asciiTheme="minorHAnsi" w:hAnsiTheme="minorHAnsi" w:cstheme="minorHAnsi"/>
          <w:b/>
          <w:bCs/>
          <w:sz w:val="24"/>
        </w:rPr>
        <w:t xml:space="preserve">Consistency with POCD: </w:t>
      </w:r>
      <w:r w:rsidRPr="00F95F27">
        <w:rPr>
          <w:rFonts w:asciiTheme="minorHAnsi" w:hAnsiTheme="minorHAnsi" w:cstheme="minorHAnsi"/>
          <w:bCs/>
          <w:sz w:val="24"/>
        </w:rPr>
        <w:t>The 2020 Plan of Conservation and Development</w:t>
      </w:r>
      <w:r w:rsidR="00122149">
        <w:rPr>
          <w:rFonts w:asciiTheme="minorHAnsi" w:hAnsiTheme="minorHAnsi" w:cstheme="minorHAnsi"/>
          <w:bCs/>
          <w:sz w:val="24"/>
        </w:rPr>
        <w:t xml:space="preserve"> addresses strategies for maintaining the vibrancy of downtown </w:t>
      </w:r>
      <w:r w:rsidR="004B7156">
        <w:rPr>
          <w:rFonts w:asciiTheme="minorHAnsi" w:hAnsiTheme="minorHAnsi" w:cstheme="minorHAnsi"/>
          <w:bCs/>
          <w:sz w:val="24"/>
        </w:rPr>
        <w:t xml:space="preserve">through a mix of uses. The Commission believes that the creation of this overlay zone will enhance downtown by creating more daily activity and ensuring that first-floor spaces do not remain empty when they can easily be converted from commercial to residential, particularly in light of changing demands resulting from COVID-19. </w:t>
      </w:r>
    </w:p>
    <w:p w14:paraId="2DA95D46" w14:textId="77777777" w:rsidR="00122149" w:rsidRDefault="00122149" w:rsidP="00AA30FF">
      <w:pPr>
        <w:pStyle w:val="Header"/>
        <w:rPr>
          <w:rFonts w:asciiTheme="minorHAnsi" w:hAnsiTheme="minorHAnsi" w:cstheme="minorHAnsi"/>
          <w:bCs/>
          <w:sz w:val="24"/>
        </w:rPr>
      </w:pPr>
    </w:p>
    <w:p w14:paraId="556C1E2B" w14:textId="77777777" w:rsidR="00122149" w:rsidRDefault="00122149" w:rsidP="00AA30FF">
      <w:pPr>
        <w:pStyle w:val="Header"/>
        <w:rPr>
          <w:rFonts w:asciiTheme="minorHAnsi" w:hAnsiTheme="minorHAnsi" w:cstheme="minorHAnsi"/>
          <w:bCs/>
          <w:sz w:val="24"/>
        </w:rPr>
      </w:pPr>
    </w:p>
    <w:p w14:paraId="2FCE4C5C" w14:textId="77777777" w:rsidR="00122149" w:rsidRPr="00F95F27" w:rsidRDefault="00122149" w:rsidP="00AA30FF">
      <w:pPr>
        <w:pStyle w:val="Header"/>
        <w:rPr>
          <w:b/>
          <w:bCs/>
          <w:sz w:val="24"/>
        </w:rPr>
      </w:pPr>
    </w:p>
    <w:p w14:paraId="18543F1D" w14:textId="77777777" w:rsidR="00AA30FF" w:rsidRPr="00F95F27" w:rsidRDefault="00AA30FF" w:rsidP="00AA30FF">
      <w:pPr>
        <w:autoSpaceDE w:val="0"/>
        <w:autoSpaceDN w:val="0"/>
        <w:adjustRightInd w:val="0"/>
        <w:rPr>
          <w:rFonts w:ascii="Calibri" w:hAnsi="Calibri" w:cs="Calibri"/>
          <w:sz w:val="24"/>
          <w:szCs w:val="24"/>
        </w:rPr>
      </w:pPr>
      <w:r w:rsidRPr="00F95F27">
        <w:rPr>
          <w:rFonts w:ascii="Calibri" w:hAnsi="Calibri" w:cs="Calibri"/>
          <w:sz w:val="24"/>
          <w:szCs w:val="24"/>
        </w:rPr>
        <w:t>Unless otherwise indicated:</w:t>
      </w:r>
    </w:p>
    <w:p w14:paraId="7305FF44" w14:textId="77777777" w:rsidR="00AA30FF" w:rsidRPr="00F95F27" w:rsidRDefault="00AA30FF" w:rsidP="00AA30FF">
      <w:pPr>
        <w:autoSpaceDE w:val="0"/>
        <w:autoSpaceDN w:val="0"/>
        <w:adjustRightInd w:val="0"/>
        <w:rPr>
          <w:rFonts w:ascii="Calibri" w:hAnsi="Calibri" w:cs="Calibri"/>
          <w:sz w:val="24"/>
          <w:szCs w:val="24"/>
        </w:rPr>
      </w:pPr>
      <w:proofErr w:type="spellStart"/>
      <w:r w:rsidRPr="00F95F27">
        <w:rPr>
          <w:rFonts w:ascii="Calibri-Bold" w:hAnsi="Calibri-Bold" w:cs="Calibri-Bold"/>
          <w:b/>
          <w:bCs/>
          <w:sz w:val="22"/>
          <w:szCs w:val="24"/>
        </w:rPr>
        <w:t>Xxxxx</w:t>
      </w:r>
      <w:proofErr w:type="spellEnd"/>
      <w:r w:rsidRPr="00F95F27">
        <w:rPr>
          <w:rFonts w:ascii="Calibri-Bold" w:hAnsi="Calibri-Bold" w:cs="Calibri-Bold"/>
          <w:b/>
          <w:bCs/>
          <w:sz w:val="24"/>
          <w:szCs w:val="24"/>
        </w:rPr>
        <w:t xml:space="preserve"> </w:t>
      </w:r>
      <w:r w:rsidRPr="00F95F27">
        <w:rPr>
          <w:rFonts w:ascii="Calibri" w:hAnsi="Calibri" w:cs="Calibri"/>
          <w:sz w:val="24"/>
          <w:szCs w:val="24"/>
        </w:rPr>
        <w:t>– Bold, underlined, means language to be added.</w:t>
      </w:r>
    </w:p>
    <w:p w14:paraId="481EDBB3" w14:textId="77777777" w:rsidR="00AA30FF" w:rsidRPr="00537369" w:rsidRDefault="00AA30FF" w:rsidP="00AA30FF">
      <w:pPr>
        <w:pStyle w:val="Header"/>
        <w:rPr>
          <w:b/>
          <w:bCs/>
          <w:sz w:val="24"/>
        </w:rPr>
      </w:pPr>
      <w:r w:rsidRPr="00F95F27">
        <w:rPr>
          <w:rFonts w:ascii="Calibri" w:hAnsi="Calibri" w:cs="Calibri"/>
          <w:sz w:val="24"/>
        </w:rPr>
        <w:t>[</w:t>
      </w:r>
      <w:proofErr w:type="spellStart"/>
      <w:r w:rsidRPr="00F95F27">
        <w:rPr>
          <w:rFonts w:ascii="Calibri" w:hAnsi="Calibri" w:cs="Calibri"/>
          <w:sz w:val="24"/>
        </w:rPr>
        <w:t>xxxx</w:t>
      </w:r>
      <w:proofErr w:type="spellEnd"/>
      <w:r w:rsidRPr="00F95F27">
        <w:rPr>
          <w:rFonts w:ascii="Calibri" w:hAnsi="Calibri" w:cs="Calibri"/>
          <w:sz w:val="24"/>
        </w:rPr>
        <w:t>] – Strikethrough in brackets, means language to be deleted.</w:t>
      </w:r>
    </w:p>
    <w:p w14:paraId="62DF2F94" w14:textId="77777777" w:rsidR="00AA30FF" w:rsidRDefault="00AA30FF" w:rsidP="00AA30FF">
      <w:pPr>
        <w:pStyle w:val="Heading2"/>
        <w:numPr>
          <w:ilvl w:val="0"/>
          <w:numId w:val="0"/>
        </w:numPr>
      </w:pPr>
    </w:p>
    <w:p w14:paraId="27311A88" w14:textId="77777777" w:rsidR="00AA30FF" w:rsidRDefault="00AA30FF" w:rsidP="00AA30FF">
      <w:pPr>
        <w:pStyle w:val="Heading2"/>
        <w:numPr>
          <w:ilvl w:val="0"/>
          <w:numId w:val="0"/>
        </w:numPr>
      </w:pPr>
    </w:p>
    <w:p w14:paraId="21D39E1D" w14:textId="77777777" w:rsidR="00AA30FF" w:rsidRDefault="00AA30FF" w:rsidP="00AA30FF">
      <w:pPr>
        <w:pStyle w:val="Heading2"/>
        <w:numPr>
          <w:ilvl w:val="0"/>
          <w:numId w:val="0"/>
        </w:numPr>
      </w:pPr>
    </w:p>
    <w:p w14:paraId="4E6575AF" w14:textId="77777777" w:rsidR="00AA30FF" w:rsidRDefault="00AA30FF" w:rsidP="00AA30FF">
      <w:pPr>
        <w:pStyle w:val="Heading2"/>
        <w:numPr>
          <w:ilvl w:val="0"/>
          <w:numId w:val="0"/>
        </w:numPr>
      </w:pPr>
    </w:p>
    <w:p w14:paraId="2560886D" w14:textId="77777777" w:rsidR="00AA30FF" w:rsidRDefault="00AA30FF" w:rsidP="00AA30FF">
      <w:pPr>
        <w:pStyle w:val="Heading2"/>
        <w:numPr>
          <w:ilvl w:val="0"/>
          <w:numId w:val="0"/>
        </w:numPr>
      </w:pPr>
    </w:p>
    <w:p w14:paraId="035E8CE0" w14:textId="77777777" w:rsidR="00AA30FF" w:rsidRPr="00F41FDA" w:rsidRDefault="00AA30FF" w:rsidP="00AA30FF">
      <w:pPr>
        <w:pStyle w:val="Heading2"/>
        <w:numPr>
          <w:ilvl w:val="0"/>
          <w:numId w:val="0"/>
        </w:numPr>
      </w:pPr>
      <w:r>
        <w:t>5.7</w:t>
      </w:r>
      <w:r w:rsidRPr="00F41FDA">
        <w:t xml:space="preserve">     </w:t>
      </w:r>
      <w:r>
        <w:t xml:space="preserve">Downtown Residential Overlay Zone </w:t>
      </w:r>
    </w:p>
    <w:p w14:paraId="5D4F2798" w14:textId="77777777" w:rsidR="00AA30FF" w:rsidRPr="00F41FDA" w:rsidRDefault="00AA30FF" w:rsidP="00AA30FF">
      <w:pPr>
        <w:widowControl w:val="0"/>
        <w:autoSpaceDE w:val="0"/>
        <w:autoSpaceDN w:val="0"/>
        <w:adjustRightInd w:val="0"/>
        <w:rPr>
          <w:rFonts w:cs="Arial"/>
          <w:bCs/>
        </w:rPr>
      </w:pPr>
    </w:p>
    <w:p w14:paraId="40AED13A" w14:textId="77777777" w:rsidR="00AA30FF" w:rsidRPr="00AA30FF" w:rsidRDefault="00AA30FF" w:rsidP="00AA30FF">
      <w:pPr>
        <w:pStyle w:val="Heading3"/>
        <w:numPr>
          <w:ilvl w:val="2"/>
          <w:numId w:val="2"/>
        </w:numPr>
        <w:ind w:hanging="1350"/>
      </w:pPr>
      <w:r w:rsidRPr="00AA30FF">
        <w:t xml:space="preserve">PURPOSE </w:t>
      </w:r>
    </w:p>
    <w:p w14:paraId="0D9D8433" w14:textId="77777777" w:rsidR="00AA30FF" w:rsidRPr="00AA30FF" w:rsidRDefault="00AA30FF" w:rsidP="00AA30FF">
      <w:pPr>
        <w:widowControl w:val="0"/>
        <w:tabs>
          <w:tab w:val="left" w:pos="720"/>
        </w:tabs>
        <w:autoSpaceDE w:val="0"/>
        <w:autoSpaceDN w:val="0"/>
        <w:adjustRightInd w:val="0"/>
        <w:rPr>
          <w:rFonts w:cs="Calibri"/>
          <w:b/>
        </w:rPr>
      </w:pPr>
    </w:p>
    <w:p w14:paraId="6EE5621B" w14:textId="77777777" w:rsidR="00AA30FF" w:rsidRPr="00071589" w:rsidRDefault="00AA30FF" w:rsidP="00AA30FF">
      <w:pPr>
        <w:widowControl w:val="0"/>
        <w:tabs>
          <w:tab w:val="left" w:pos="720"/>
        </w:tabs>
        <w:autoSpaceDE w:val="0"/>
        <w:autoSpaceDN w:val="0"/>
        <w:adjustRightInd w:val="0"/>
        <w:rPr>
          <w:rFonts w:cs="Calibri"/>
          <w:b/>
          <w:u w:val="single"/>
        </w:rPr>
      </w:pPr>
      <w:r w:rsidRPr="00071589">
        <w:rPr>
          <w:rFonts w:cs="Calibri"/>
          <w:b/>
          <w:u w:val="single"/>
        </w:rPr>
        <w:t xml:space="preserve">The Downtown Residential Overlay Zone allow additional residential opportunities within portions of the Central Business District in order to foster a population that can promote an active, livable and walkable downtown environment for supporting downtown Ridgefield businesses and services. </w:t>
      </w:r>
    </w:p>
    <w:p w14:paraId="70F18DE2" w14:textId="77777777" w:rsidR="00AA30FF" w:rsidRPr="00071589" w:rsidRDefault="00AA30FF" w:rsidP="00AA30FF">
      <w:pPr>
        <w:widowControl w:val="0"/>
        <w:tabs>
          <w:tab w:val="left" w:pos="720"/>
        </w:tabs>
        <w:autoSpaceDE w:val="0"/>
        <w:autoSpaceDN w:val="0"/>
        <w:adjustRightInd w:val="0"/>
        <w:rPr>
          <w:rFonts w:cs="Calibri"/>
          <w:b/>
          <w:sz w:val="22"/>
          <w:u w:val="single"/>
        </w:rPr>
      </w:pPr>
    </w:p>
    <w:p w14:paraId="7DDCFC7A" w14:textId="77777777" w:rsidR="00AA30FF" w:rsidRPr="00AA30FF" w:rsidRDefault="00AA30FF" w:rsidP="00AA30FF">
      <w:pPr>
        <w:widowControl w:val="0"/>
        <w:tabs>
          <w:tab w:val="left" w:pos="720"/>
        </w:tabs>
        <w:autoSpaceDE w:val="0"/>
        <w:autoSpaceDN w:val="0"/>
        <w:adjustRightInd w:val="0"/>
        <w:rPr>
          <w:rFonts w:cs="Calibri"/>
          <w:b/>
          <w:color w:val="FF0000"/>
          <w:sz w:val="16"/>
        </w:rPr>
      </w:pPr>
      <w:r w:rsidRPr="00AA30FF">
        <w:rPr>
          <w:rFonts w:cs="Calibri"/>
          <w:b/>
          <w:color w:val="FF0000"/>
          <w:sz w:val="18"/>
        </w:rPr>
        <w:t xml:space="preserve">B. </w:t>
      </w:r>
      <w:r w:rsidRPr="00AA30FF">
        <w:rPr>
          <w:rFonts w:cs="Calibri"/>
          <w:b/>
          <w:color w:val="FF0000"/>
          <w:sz w:val="18"/>
        </w:rPr>
        <w:tab/>
      </w:r>
      <w:r w:rsidRPr="00AA30FF">
        <w:rPr>
          <w:rFonts w:cs="Arial"/>
          <w:b/>
          <w:color w:val="FF0000"/>
          <w:sz w:val="18"/>
        </w:rPr>
        <w:t>ARCHITECTURAL REVIEW REQUIRED</w:t>
      </w:r>
    </w:p>
    <w:p w14:paraId="21CECB62" w14:textId="77777777" w:rsidR="00AA30FF" w:rsidRPr="00AA30FF" w:rsidRDefault="00AA30FF" w:rsidP="00AA30FF">
      <w:pPr>
        <w:widowControl w:val="0"/>
        <w:tabs>
          <w:tab w:val="left" w:pos="720"/>
        </w:tabs>
        <w:autoSpaceDE w:val="0"/>
        <w:autoSpaceDN w:val="0"/>
        <w:adjustRightInd w:val="0"/>
        <w:ind w:left="1440"/>
        <w:rPr>
          <w:rFonts w:cs="Arial"/>
          <w:b/>
        </w:rPr>
      </w:pPr>
    </w:p>
    <w:p w14:paraId="155D3A35" w14:textId="77777777" w:rsidR="00AA30FF" w:rsidRPr="00071589" w:rsidRDefault="00AA30FF" w:rsidP="00AA30FF">
      <w:pPr>
        <w:tabs>
          <w:tab w:val="left" w:pos="360"/>
          <w:tab w:val="left" w:pos="1080"/>
          <w:tab w:val="left" w:pos="2340"/>
        </w:tabs>
        <w:spacing w:after="200"/>
        <w:contextualSpacing/>
        <w:jc w:val="both"/>
        <w:rPr>
          <w:rFonts w:cs="Arial"/>
          <w:b/>
          <w:u w:val="single"/>
        </w:rPr>
      </w:pPr>
      <w:r w:rsidRPr="00071589">
        <w:rPr>
          <w:rFonts w:cs="Arial"/>
          <w:b/>
          <w:bCs/>
          <w:u w:val="single"/>
        </w:rPr>
        <w:t>Unless otherwise authorized by the Commission, all site plans and landscaping plans for new construction, and architectural plans for buildings, exterior renovations and modifications to existing structures shall be reviewed by the Architectural Advisory Committee, per Section 9.3.G of these Regulations and shall be subject to the minimum standards of the following:</w:t>
      </w:r>
    </w:p>
    <w:p w14:paraId="348EC14C" w14:textId="77777777" w:rsidR="00AA30FF" w:rsidRPr="00071589" w:rsidRDefault="00AA30FF" w:rsidP="00AA30FF">
      <w:pPr>
        <w:numPr>
          <w:ilvl w:val="0"/>
          <w:numId w:val="4"/>
        </w:numPr>
        <w:tabs>
          <w:tab w:val="left" w:pos="720"/>
          <w:tab w:val="left" w:pos="2340"/>
        </w:tabs>
        <w:spacing w:after="200"/>
        <w:ind w:left="720"/>
        <w:contextualSpacing/>
        <w:jc w:val="both"/>
        <w:rPr>
          <w:rFonts w:cs="Arial"/>
          <w:b/>
          <w:bCs/>
          <w:u w:val="single"/>
        </w:rPr>
      </w:pPr>
      <w:r w:rsidRPr="00071589">
        <w:rPr>
          <w:rFonts w:cs="Arial"/>
          <w:b/>
          <w:bCs/>
          <w:u w:val="single"/>
        </w:rPr>
        <w:t xml:space="preserve">The applicant shall demonstrate how the proposed development enhances the character and streetscape. </w:t>
      </w:r>
    </w:p>
    <w:p w14:paraId="639A435E" w14:textId="77777777" w:rsidR="00AA30FF" w:rsidRPr="00071589" w:rsidRDefault="00AA30FF" w:rsidP="00AA30FF">
      <w:pPr>
        <w:numPr>
          <w:ilvl w:val="0"/>
          <w:numId w:val="4"/>
        </w:numPr>
        <w:tabs>
          <w:tab w:val="left" w:pos="720"/>
          <w:tab w:val="left" w:pos="2340"/>
        </w:tabs>
        <w:spacing w:after="200"/>
        <w:ind w:left="720"/>
        <w:contextualSpacing/>
        <w:jc w:val="both"/>
        <w:rPr>
          <w:rFonts w:cs="Arial"/>
          <w:b/>
          <w:u w:val="single"/>
        </w:rPr>
      </w:pPr>
      <w:r w:rsidRPr="00071589">
        <w:rPr>
          <w:rFonts w:cs="Arial"/>
          <w:b/>
          <w:bCs/>
          <w:u w:val="single"/>
        </w:rPr>
        <w:t xml:space="preserve">Architectural focal points and repeating architectural details shall be incorporated into the design to increase visual interest. </w:t>
      </w:r>
    </w:p>
    <w:p w14:paraId="30176748" w14:textId="77777777" w:rsidR="00AA30FF" w:rsidRPr="00071589" w:rsidRDefault="00AA30FF" w:rsidP="00AA30FF">
      <w:pPr>
        <w:numPr>
          <w:ilvl w:val="0"/>
          <w:numId w:val="4"/>
        </w:numPr>
        <w:tabs>
          <w:tab w:val="left" w:pos="720"/>
          <w:tab w:val="left" w:pos="2340"/>
        </w:tabs>
        <w:spacing w:after="200"/>
        <w:ind w:left="720"/>
        <w:contextualSpacing/>
        <w:jc w:val="both"/>
        <w:rPr>
          <w:rFonts w:cs="Arial"/>
          <w:b/>
          <w:u w:val="single"/>
        </w:rPr>
      </w:pPr>
      <w:r w:rsidRPr="00071589">
        <w:rPr>
          <w:rFonts w:cs="Arial"/>
          <w:b/>
          <w:bCs/>
          <w:u w:val="single"/>
        </w:rPr>
        <w:t xml:space="preserve">Elements and materials that reflect the New England Classical and New England Village character are encouraged.  </w:t>
      </w:r>
    </w:p>
    <w:p w14:paraId="0CE211D9" w14:textId="77777777" w:rsidR="00AA30FF" w:rsidRPr="00071589" w:rsidRDefault="00AA30FF" w:rsidP="00AA30FF">
      <w:pPr>
        <w:numPr>
          <w:ilvl w:val="0"/>
          <w:numId w:val="4"/>
        </w:numPr>
        <w:tabs>
          <w:tab w:val="left" w:pos="720"/>
          <w:tab w:val="left" w:pos="2340"/>
        </w:tabs>
        <w:spacing w:after="200"/>
        <w:ind w:left="720"/>
        <w:contextualSpacing/>
        <w:jc w:val="both"/>
        <w:rPr>
          <w:rFonts w:cs="Arial"/>
          <w:b/>
          <w:u w:val="single"/>
        </w:rPr>
      </w:pPr>
      <w:r w:rsidRPr="00071589">
        <w:rPr>
          <w:rFonts w:cs="Arial"/>
          <w:b/>
          <w:bCs/>
          <w:u w:val="single"/>
        </w:rPr>
        <w:t>Buildings shall be situated close to the front yard setback line.</w:t>
      </w:r>
    </w:p>
    <w:p w14:paraId="57D35965" w14:textId="77777777" w:rsidR="00AA30FF" w:rsidRPr="00071589" w:rsidRDefault="00AA30FF" w:rsidP="00AA30FF">
      <w:pPr>
        <w:numPr>
          <w:ilvl w:val="0"/>
          <w:numId w:val="4"/>
        </w:numPr>
        <w:tabs>
          <w:tab w:val="left" w:pos="720"/>
          <w:tab w:val="left" w:pos="2340"/>
        </w:tabs>
        <w:spacing w:after="200"/>
        <w:ind w:left="720"/>
        <w:contextualSpacing/>
        <w:jc w:val="both"/>
        <w:rPr>
          <w:rFonts w:cs="Arial"/>
          <w:b/>
          <w:u w:val="single"/>
        </w:rPr>
      </w:pPr>
      <w:r w:rsidRPr="00071589">
        <w:rPr>
          <w:rFonts w:cs="Arial"/>
          <w:b/>
          <w:bCs/>
          <w:u w:val="single"/>
        </w:rPr>
        <w:t xml:space="preserve">Parking shall be located underneath or at the side or rear of the building. </w:t>
      </w:r>
    </w:p>
    <w:p w14:paraId="62194DEF" w14:textId="77777777" w:rsidR="00AA30FF" w:rsidRPr="00071589" w:rsidRDefault="00AA30FF" w:rsidP="00AA30FF">
      <w:pPr>
        <w:numPr>
          <w:ilvl w:val="0"/>
          <w:numId w:val="4"/>
        </w:numPr>
        <w:tabs>
          <w:tab w:val="left" w:pos="720"/>
          <w:tab w:val="left" w:pos="2340"/>
        </w:tabs>
        <w:spacing w:after="200"/>
        <w:ind w:left="720"/>
        <w:contextualSpacing/>
        <w:jc w:val="both"/>
        <w:rPr>
          <w:rFonts w:cs="Arial"/>
          <w:b/>
          <w:u w:val="single"/>
        </w:rPr>
      </w:pPr>
      <w:r w:rsidRPr="00071589">
        <w:rPr>
          <w:rFonts w:cs="Arial"/>
          <w:b/>
          <w:bCs/>
          <w:u w:val="single"/>
        </w:rPr>
        <w:t xml:space="preserve">Larger buildings should be broken up using different materials, rooflines, and massing.  </w:t>
      </w:r>
    </w:p>
    <w:p w14:paraId="7FCFA648" w14:textId="77777777" w:rsidR="00AA30FF" w:rsidRPr="00071589" w:rsidRDefault="00AA30FF" w:rsidP="00AA30FF">
      <w:pPr>
        <w:numPr>
          <w:ilvl w:val="0"/>
          <w:numId w:val="4"/>
        </w:numPr>
        <w:tabs>
          <w:tab w:val="left" w:pos="720"/>
          <w:tab w:val="left" w:pos="2340"/>
        </w:tabs>
        <w:spacing w:after="200"/>
        <w:ind w:left="720"/>
        <w:contextualSpacing/>
        <w:jc w:val="both"/>
        <w:rPr>
          <w:rFonts w:cs="Arial"/>
          <w:b/>
          <w:u w:val="single"/>
        </w:rPr>
      </w:pPr>
      <w:r w:rsidRPr="00071589">
        <w:rPr>
          <w:rFonts w:cs="Arial"/>
          <w:b/>
          <w:bCs/>
          <w:u w:val="single"/>
        </w:rPr>
        <w:t>Lighting shall be designed in conformance with Sec. 7.8 in the zoning regulations, with uniformity of design throughout the site.</w:t>
      </w:r>
    </w:p>
    <w:p w14:paraId="5C2B1DE7" w14:textId="77777777" w:rsidR="00AA30FF" w:rsidRPr="00AA30FF" w:rsidRDefault="00AA30FF" w:rsidP="00AA30FF">
      <w:pPr>
        <w:tabs>
          <w:tab w:val="left" w:pos="720"/>
          <w:tab w:val="left" w:pos="2340"/>
        </w:tabs>
        <w:spacing w:after="200"/>
        <w:ind w:left="720"/>
        <w:contextualSpacing/>
        <w:jc w:val="both"/>
        <w:rPr>
          <w:rFonts w:cs="Arial"/>
          <w:b/>
        </w:rPr>
      </w:pPr>
    </w:p>
    <w:p w14:paraId="7D270998" w14:textId="77777777" w:rsidR="00AA30FF" w:rsidRPr="00AA30FF" w:rsidRDefault="00AA30FF" w:rsidP="00AA30FF">
      <w:pPr>
        <w:widowControl w:val="0"/>
        <w:numPr>
          <w:ilvl w:val="0"/>
          <w:numId w:val="3"/>
        </w:numPr>
        <w:tabs>
          <w:tab w:val="left" w:pos="720"/>
        </w:tabs>
        <w:autoSpaceDE w:val="0"/>
        <w:autoSpaceDN w:val="0"/>
        <w:adjustRightInd w:val="0"/>
        <w:ind w:hanging="1440"/>
        <w:contextualSpacing/>
        <w:rPr>
          <w:rFonts w:cs="Arial"/>
          <w:b/>
          <w:color w:val="FF0000"/>
          <w:sz w:val="18"/>
        </w:rPr>
      </w:pPr>
      <w:r w:rsidRPr="00AA30FF">
        <w:rPr>
          <w:rFonts w:cs="Arial"/>
          <w:b/>
          <w:color w:val="FF0000"/>
          <w:sz w:val="18"/>
        </w:rPr>
        <w:t xml:space="preserve">ELIGIBILITY </w:t>
      </w:r>
    </w:p>
    <w:p w14:paraId="5DA814E3" w14:textId="77777777" w:rsidR="00AA30FF" w:rsidRPr="00AA30FF" w:rsidRDefault="00AA30FF" w:rsidP="00AA30FF">
      <w:pPr>
        <w:widowControl w:val="0"/>
        <w:tabs>
          <w:tab w:val="left" w:pos="720"/>
        </w:tabs>
        <w:autoSpaceDE w:val="0"/>
        <w:autoSpaceDN w:val="0"/>
        <w:adjustRightInd w:val="0"/>
        <w:rPr>
          <w:rFonts w:cs="Arial"/>
          <w:b/>
        </w:rPr>
      </w:pPr>
    </w:p>
    <w:p w14:paraId="14362E4C" w14:textId="77777777" w:rsidR="00AA30FF" w:rsidRPr="00071589" w:rsidRDefault="00AA30FF" w:rsidP="00AA30FF">
      <w:pPr>
        <w:widowControl w:val="0"/>
        <w:tabs>
          <w:tab w:val="left" w:pos="720"/>
        </w:tabs>
        <w:autoSpaceDE w:val="0"/>
        <w:autoSpaceDN w:val="0"/>
        <w:adjustRightInd w:val="0"/>
        <w:rPr>
          <w:rFonts w:cs="Arial"/>
          <w:b/>
          <w:u w:val="single"/>
        </w:rPr>
      </w:pPr>
      <w:r w:rsidRPr="00071589">
        <w:rPr>
          <w:rFonts w:cs="Arial"/>
          <w:b/>
          <w:u w:val="single"/>
        </w:rPr>
        <w:t xml:space="preserve">The Downtown Residential Overlay Zone applies to portions of the Central Business District (CBD) as indicated on the Zoning Map. </w:t>
      </w:r>
    </w:p>
    <w:p w14:paraId="7D9AC750" w14:textId="77777777" w:rsidR="00AA30FF" w:rsidRPr="00AA30FF" w:rsidRDefault="00AA30FF" w:rsidP="00AA30FF">
      <w:pPr>
        <w:widowControl w:val="0"/>
        <w:tabs>
          <w:tab w:val="left" w:pos="720"/>
        </w:tabs>
        <w:autoSpaceDE w:val="0"/>
        <w:autoSpaceDN w:val="0"/>
        <w:adjustRightInd w:val="0"/>
        <w:rPr>
          <w:rFonts w:cs="Arial"/>
          <w:b/>
        </w:rPr>
      </w:pPr>
    </w:p>
    <w:p w14:paraId="35DD40A0" w14:textId="77777777" w:rsidR="00AA30FF" w:rsidRPr="00AA30FF" w:rsidRDefault="00AA30FF" w:rsidP="00AA30FF">
      <w:pPr>
        <w:widowControl w:val="0"/>
        <w:numPr>
          <w:ilvl w:val="0"/>
          <w:numId w:val="3"/>
        </w:numPr>
        <w:tabs>
          <w:tab w:val="left" w:pos="720"/>
        </w:tabs>
        <w:autoSpaceDE w:val="0"/>
        <w:autoSpaceDN w:val="0"/>
        <w:adjustRightInd w:val="0"/>
        <w:ind w:hanging="1440"/>
        <w:contextualSpacing/>
        <w:rPr>
          <w:rFonts w:cs="Arial"/>
          <w:b/>
          <w:color w:val="FF0000"/>
          <w:sz w:val="18"/>
        </w:rPr>
      </w:pPr>
      <w:r w:rsidRPr="00AA30FF">
        <w:rPr>
          <w:rFonts w:cs="Arial"/>
          <w:b/>
          <w:color w:val="FF0000"/>
          <w:sz w:val="18"/>
        </w:rPr>
        <w:t>PERMITTED USES</w:t>
      </w:r>
    </w:p>
    <w:p w14:paraId="0404F7A5" w14:textId="77777777" w:rsidR="00AA30FF" w:rsidRPr="00AA30FF" w:rsidRDefault="00AA30FF" w:rsidP="00AA30FF">
      <w:pPr>
        <w:widowControl w:val="0"/>
        <w:tabs>
          <w:tab w:val="left" w:pos="720"/>
        </w:tabs>
        <w:autoSpaceDE w:val="0"/>
        <w:autoSpaceDN w:val="0"/>
        <w:adjustRightInd w:val="0"/>
        <w:rPr>
          <w:rFonts w:cs="Arial"/>
          <w:b/>
        </w:rPr>
      </w:pPr>
    </w:p>
    <w:p w14:paraId="4D9D2D49" w14:textId="77777777" w:rsidR="00AA30FF" w:rsidRPr="00071589" w:rsidRDefault="00AA30FF" w:rsidP="00AA30FF">
      <w:pPr>
        <w:widowControl w:val="0"/>
        <w:tabs>
          <w:tab w:val="left" w:pos="0"/>
          <w:tab w:val="left" w:pos="630"/>
        </w:tabs>
        <w:autoSpaceDE w:val="0"/>
        <w:autoSpaceDN w:val="0"/>
        <w:adjustRightInd w:val="0"/>
        <w:contextualSpacing/>
        <w:rPr>
          <w:rFonts w:cs="Arial"/>
          <w:b/>
          <w:u w:val="single"/>
        </w:rPr>
      </w:pPr>
      <w:r w:rsidRPr="00071589">
        <w:rPr>
          <w:rFonts w:cs="Arial"/>
          <w:b/>
          <w:u w:val="single"/>
        </w:rPr>
        <w:t>Multi-family dwellings including first floor or basement residential units when served by public water and sewer in addition to any uses permitted in Section 5.1</w:t>
      </w:r>
    </w:p>
    <w:p w14:paraId="21DF3A24" w14:textId="77777777" w:rsidR="00AA30FF" w:rsidRPr="00AA30FF" w:rsidRDefault="00AA30FF" w:rsidP="00AA30FF">
      <w:pPr>
        <w:widowControl w:val="0"/>
        <w:tabs>
          <w:tab w:val="left" w:pos="0"/>
          <w:tab w:val="left" w:pos="630"/>
        </w:tabs>
        <w:autoSpaceDE w:val="0"/>
        <w:autoSpaceDN w:val="0"/>
        <w:adjustRightInd w:val="0"/>
        <w:contextualSpacing/>
        <w:rPr>
          <w:rFonts w:cs="Arial"/>
          <w:b/>
        </w:rPr>
      </w:pPr>
    </w:p>
    <w:p w14:paraId="0BC62AC8" w14:textId="77777777" w:rsidR="00AA30FF" w:rsidRPr="00AA30FF" w:rsidRDefault="00AA30FF" w:rsidP="00AA30FF">
      <w:pPr>
        <w:widowControl w:val="0"/>
        <w:tabs>
          <w:tab w:val="left" w:pos="0"/>
          <w:tab w:val="left" w:pos="630"/>
        </w:tabs>
        <w:autoSpaceDE w:val="0"/>
        <w:autoSpaceDN w:val="0"/>
        <w:adjustRightInd w:val="0"/>
        <w:contextualSpacing/>
        <w:rPr>
          <w:rFonts w:cs="Arial"/>
          <w:b/>
          <w:color w:val="FF0000"/>
          <w:sz w:val="18"/>
        </w:rPr>
      </w:pPr>
      <w:r w:rsidRPr="00AA30FF">
        <w:rPr>
          <w:rFonts w:cs="Arial"/>
          <w:b/>
          <w:color w:val="FF0000"/>
          <w:sz w:val="18"/>
        </w:rPr>
        <w:t>E.         PARKING REQUIREMENTS</w:t>
      </w:r>
    </w:p>
    <w:p w14:paraId="4C63FADF" w14:textId="77777777" w:rsidR="00AA30FF" w:rsidRPr="00AA30FF" w:rsidRDefault="00AA30FF" w:rsidP="00AA30FF">
      <w:pPr>
        <w:widowControl w:val="0"/>
        <w:tabs>
          <w:tab w:val="left" w:pos="0"/>
          <w:tab w:val="left" w:pos="630"/>
        </w:tabs>
        <w:autoSpaceDE w:val="0"/>
        <w:autoSpaceDN w:val="0"/>
        <w:adjustRightInd w:val="0"/>
        <w:contextualSpacing/>
        <w:rPr>
          <w:rFonts w:cs="Arial"/>
          <w:b/>
          <w:sz w:val="18"/>
        </w:rPr>
      </w:pPr>
    </w:p>
    <w:p w14:paraId="329C0A0A" w14:textId="77777777" w:rsidR="00AA30FF" w:rsidRPr="00071589" w:rsidRDefault="00AA30FF" w:rsidP="00AA30FF">
      <w:pPr>
        <w:widowControl w:val="0"/>
        <w:tabs>
          <w:tab w:val="left" w:pos="0"/>
          <w:tab w:val="left" w:pos="630"/>
        </w:tabs>
        <w:autoSpaceDE w:val="0"/>
        <w:autoSpaceDN w:val="0"/>
        <w:adjustRightInd w:val="0"/>
        <w:contextualSpacing/>
        <w:rPr>
          <w:rFonts w:cs="Arial"/>
          <w:b/>
          <w:u w:val="single"/>
        </w:rPr>
      </w:pPr>
      <w:r w:rsidRPr="00071589">
        <w:rPr>
          <w:rFonts w:cs="Arial"/>
          <w:b/>
          <w:u w:val="single"/>
        </w:rPr>
        <w:t xml:space="preserve">Residential units on the first floor or basement level shall be required to follow the parking requirements of Section 7.3.B. </w:t>
      </w:r>
    </w:p>
    <w:p w14:paraId="2739F0FC" w14:textId="77777777" w:rsidR="00AA30FF" w:rsidRPr="00AA30FF" w:rsidRDefault="00AA30FF" w:rsidP="00AA30FF">
      <w:pPr>
        <w:widowControl w:val="0"/>
        <w:tabs>
          <w:tab w:val="left" w:pos="0"/>
          <w:tab w:val="left" w:pos="630"/>
        </w:tabs>
        <w:autoSpaceDE w:val="0"/>
        <w:autoSpaceDN w:val="0"/>
        <w:adjustRightInd w:val="0"/>
        <w:contextualSpacing/>
        <w:rPr>
          <w:rFonts w:cs="Arial"/>
          <w:b/>
        </w:rPr>
      </w:pPr>
    </w:p>
    <w:p w14:paraId="74DEB4BB" w14:textId="77777777" w:rsidR="00AA30FF" w:rsidRPr="00AA30FF" w:rsidRDefault="00AA30FF" w:rsidP="00AA30FF">
      <w:pPr>
        <w:widowControl w:val="0"/>
        <w:tabs>
          <w:tab w:val="left" w:pos="0"/>
          <w:tab w:val="left" w:pos="630"/>
        </w:tabs>
        <w:autoSpaceDE w:val="0"/>
        <w:autoSpaceDN w:val="0"/>
        <w:adjustRightInd w:val="0"/>
        <w:contextualSpacing/>
        <w:rPr>
          <w:rFonts w:cs="Arial"/>
          <w:b/>
          <w:color w:val="FF0000"/>
        </w:rPr>
      </w:pPr>
      <w:r w:rsidRPr="00AA30FF">
        <w:rPr>
          <w:rFonts w:cs="Arial"/>
          <w:b/>
          <w:color w:val="FF0000"/>
          <w:sz w:val="18"/>
        </w:rPr>
        <w:t>E.         AFFORDABLE UNITS REQUIREMENT</w:t>
      </w:r>
    </w:p>
    <w:p w14:paraId="1EC86B30" w14:textId="77777777" w:rsidR="00AA30FF" w:rsidRPr="00071589" w:rsidRDefault="00AA30FF" w:rsidP="00AA30FF">
      <w:pPr>
        <w:rPr>
          <w:rFonts w:cs="Arial"/>
          <w:b/>
          <w:color w:val="000000"/>
          <w:u w:val="single"/>
          <w:shd w:val="clear" w:color="auto" w:fill="FFFFFF"/>
        </w:rPr>
      </w:pPr>
    </w:p>
    <w:p w14:paraId="09C4D0A8" w14:textId="77777777" w:rsidR="00AA30FF" w:rsidRPr="00071589" w:rsidRDefault="00AA30FF" w:rsidP="00AA30FF">
      <w:pPr>
        <w:widowControl w:val="0"/>
        <w:numPr>
          <w:ilvl w:val="0"/>
          <w:numId w:val="8"/>
        </w:numPr>
        <w:autoSpaceDE w:val="0"/>
        <w:autoSpaceDN w:val="0"/>
        <w:adjustRightInd w:val="0"/>
        <w:rPr>
          <w:rFonts w:cs="Arial"/>
          <w:b/>
          <w:u w:val="single"/>
        </w:rPr>
      </w:pPr>
      <w:r w:rsidRPr="00071589">
        <w:rPr>
          <w:rFonts w:cs="Arial"/>
          <w:b/>
          <w:u w:val="single"/>
        </w:rPr>
        <w:t>Any multi-unit dwelling located within this overlay district that contains residential units on the first floor or basement and contains five (5) or more total units:</w:t>
      </w:r>
    </w:p>
    <w:p w14:paraId="5E8563B1" w14:textId="77777777" w:rsidR="00AA30FF" w:rsidRPr="00071589" w:rsidRDefault="00AA30FF" w:rsidP="00AA30FF">
      <w:pPr>
        <w:widowControl w:val="0"/>
        <w:numPr>
          <w:ilvl w:val="1"/>
          <w:numId w:val="8"/>
        </w:numPr>
        <w:autoSpaceDE w:val="0"/>
        <w:autoSpaceDN w:val="0"/>
        <w:adjustRightInd w:val="0"/>
        <w:ind w:left="720"/>
        <w:rPr>
          <w:rFonts w:cs="Arial"/>
          <w:b/>
          <w:szCs w:val="22"/>
          <w:u w:val="single"/>
        </w:rPr>
      </w:pPr>
      <w:r w:rsidRPr="00071589">
        <w:rPr>
          <w:rFonts w:cs="Arial"/>
          <w:b/>
          <w:u w:val="single"/>
        </w:rPr>
        <w:t xml:space="preserve">shall contain twenty percent (20%) of the total number of units </w:t>
      </w:r>
      <w:r w:rsidRPr="00071589">
        <w:rPr>
          <w:rFonts w:cs="Arial"/>
          <w:b/>
          <w:szCs w:val="22"/>
          <w:u w:val="single"/>
        </w:rPr>
        <w:t>deed-restricted as affordable housing according to the criteria for affordability set up in CGS 8-30g (6) for tenants with incomes less than eighty percent (80%) of the State Median Income (SMI);</w:t>
      </w:r>
    </w:p>
    <w:p w14:paraId="3E4E7303" w14:textId="77777777" w:rsidR="00AA30FF" w:rsidRPr="00071589" w:rsidRDefault="00AA30FF" w:rsidP="00AA30FF">
      <w:pPr>
        <w:widowControl w:val="0"/>
        <w:numPr>
          <w:ilvl w:val="1"/>
          <w:numId w:val="8"/>
        </w:numPr>
        <w:autoSpaceDE w:val="0"/>
        <w:autoSpaceDN w:val="0"/>
        <w:adjustRightInd w:val="0"/>
        <w:ind w:left="720"/>
        <w:rPr>
          <w:b/>
          <w:sz w:val="22"/>
          <w:u w:val="single"/>
        </w:rPr>
      </w:pPr>
      <w:r w:rsidRPr="00071589">
        <w:rPr>
          <w:rFonts w:cs="Arial"/>
          <w:b/>
          <w:szCs w:val="22"/>
          <w:u w:val="single"/>
        </w:rPr>
        <w:t xml:space="preserve">calculation of permitted density may be rounded down to the nearest whole number when fractions are less than 0.5 and shall be rounded up when fractions are 0.5 or greater.   </w:t>
      </w:r>
    </w:p>
    <w:p w14:paraId="629F21A4" w14:textId="77777777" w:rsidR="00AA30FF" w:rsidRPr="00AA30FF" w:rsidRDefault="00AA30FF" w:rsidP="00AA30FF">
      <w:pPr>
        <w:widowControl w:val="0"/>
        <w:autoSpaceDE w:val="0"/>
        <w:autoSpaceDN w:val="0"/>
        <w:adjustRightInd w:val="0"/>
        <w:rPr>
          <w:rFonts w:cs="Arial"/>
          <w:b/>
          <w:highlight w:val="yellow"/>
        </w:rPr>
      </w:pPr>
    </w:p>
    <w:p w14:paraId="0DDA6B78" w14:textId="77777777" w:rsidR="00AA30FF" w:rsidRPr="00071589" w:rsidRDefault="00AA30FF" w:rsidP="00AA30FF">
      <w:pPr>
        <w:rPr>
          <w:rFonts w:cs="Arial"/>
          <w:b/>
          <w:color w:val="FF0000"/>
          <w:sz w:val="18"/>
          <w:u w:val="single"/>
          <w:shd w:val="clear" w:color="auto" w:fill="FFFFFF"/>
        </w:rPr>
      </w:pPr>
      <w:r w:rsidRPr="00AA30FF">
        <w:rPr>
          <w:rFonts w:cs="Arial"/>
          <w:b/>
          <w:color w:val="FF0000"/>
          <w:sz w:val="18"/>
          <w:shd w:val="clear" w:color="auto" w:fill="FFFFFF"/>
        </w:rPr>
        <w:t>F.           ADDITIONAL STANDARDS</w:t>
      </w:r>
    </w:p>
    <w:p w14:paraId="0F599ABC" w14:textId="77777777" w:rsidR="00AA30FF" w:rsidRPr="00071589" w:rsidRDefault="00AA30FF" w:rsidP="00AA30FF">
      <w:pPr>
        <w:tabs>
          <w:tab w:val="left" w:pos="1080"/>
          <w:tab w:val="left" w:pos="1530"/>
        </w:tabs>
        <w:ind w:left="360"/>
        <w:jc w:val="both"/>
        <w:rPr>
          <w:rFonts w:cs="Arial"/>
          <w:b/>
          <w:u w:val="single"/>
        </w:rPr>
      </w:pPr>
    </w:p>
    <w:p w14:paraId="7B91E45A" w14:textId="77777777" w:rsidR="00AA30FF" w:rsidRPr="00071589" w:rsidRDefault="00AA30FF" w:rsidP="00AA30FF">
      <w:pPr>
        <w:numPr>
          <w:ilvl w:val="0"/>
          <w:numId w:val="5"/>
        </w:numPr>
        <w:tabs>
          <w:tab w:val="left" w:pos="360"/>
          <w:tab w:val="left" w:pos="810"/>
        </w:tabs>
        <w:spacing w:after="200"/>
        <w:ind w:left="360"/>
        <w:contextualSpacing/>
        <w:jc w:val="both"/>
        <w:rPr>
          <w:rFonts w:cs="Arial"/>
          <w:b/>
          <w:u w:val="single"/>
        </w:rPr>
      </w:pPr>
      <w:r w:rsidRPr="00071589">
        <w:rPr>
          <w:rFonts w:cs="Arial"/>
          <w:b/>
          <w:bCs/>
          <w:u w:val="single"/>
        </w:rPr>
        <w:t>Unless otherwise authorized by the Commission, the following minimum design standards shall apply:</w:t>
      </w:r>
    </w:p>
    <w:p w14:paraId="26F24A88" w14:textId="77777777" w:rsidR="00AA30FF" w:rsidRPr="00071589" w:rsidRDefault="00AA30FF" w:rsidP="00AA30FF">
      <w:pPr>
        <w:numPr>
          <w:ilvl w:val="0"/>
          <w:numId w:val="6"/>
        </w:numPr>
        <w:tabs>
          <w:tab w:val="left" w:pos="360"/>
          <w:tab w:val="left" w:pos="900"/>
          <w:tab w:val="left" w:pos="1170"/>
          <w:tab w:val="left" w:pos="1710"/>
          <w:tab w:val="left" w:pos="1980"/>
          <w:tab w:val="left" w:pos="2340"/>
        </w:tabs>
        <w:spacing w:after="200"/>
        <w:contextualSpacing/>
        <w:jc w:val="both"/>
        <w:rPr>
          <w:rFonts w:cs="Arial"/>
          <w:b/>
          <w:u w:val="single"/>
        </w:rPr>
      </w:pPr>
      <w:r w:rsidRPr="00071589">
        <w:rPr>
          <w:rFonts w:cs="Arial"/>
          <w:b/>
          <w:u w:val="single"/>
        </w:rPr>
        <w:t xml:space="preserve">Dwelling units shall not be less than 500 square feet in gross floor living area. </w:t>
      </w:r>
    </w:p>
    <w:p w14:paraId="3822045F" w14:textId="77777777" w:rsidR="00AA30FF" w:rsidRPr="00071589" w:rsidRDefault="00AA30FF" w:rsidP="00AA30FF">
      <w:pPr>
        <w:numPr>
          <w:ilvl w:val="0"/>
          <w:numId w:val="6"/>
        </w:numPr>
        <w:tabs>
          <w:tab w:val="left" w:pos="360"/>
          <w:tab w:val="left" w:pos="900"/>
          <w:tab w:val="left" w:pos="1170"/>
          <w:tab w:val="left" w:pos="1710"/>
          <w:tab w:val="left" w:pos="1980"/>
          <w:tab w:val="left" w:pos="2340"/>
        </w:tabs>
        <w:spacing w:after="200"/>
        <w:contextualSpacing/>
        <w:jc w:val="both"/>
        <w:rPr>
          <w:rFonts w:cs="Arial"/>
          <w:b/>
          <w:u w:val="single"/>
        </w:rPr>
      </w:pPr>
      <w:r w:rsidRPr="00071589">
        <w:rPr>
          <w:rFonts w:cs="Arial"/>
          <w:b/>
          <w:bCs/>
          <w:u w:val="single"/>
        </w:rPr>
        <w:t>The location of any sidewalks shall provide continuity with existing sidewalks on neighboring properties, and/or shall be planned for appropriate connection to future sidewalks, considering topography and other physical restraints.</w:t>
      </w:r>
    </w:p>
    <w:p w14:paraId="0C0E7680" w14:textId="77777777" w:rsidR="00AA30FF" w:rsidRPr="00071589" w:rsidRDefault="00AA30FF" w:rsidP="00AA30FF">
      <w:pPr>
        <w:numPr>
          <w:ilvl w:val="0"/>
          <w:numId w:val="6"/>
        </w:numPr>
        <w:tabs>
          <w:tab w:val="left" w:pos="360"/>
          <w:tab w:val="left" w:pos="900"/>
          <w:tab w:val="left" w:pos="1170"/>
          <w:tab w:val="left" w:pos="1710"/>
          <w:tab w:val="left" w:pos="1980"/>
          <w:tab w:val="left" w:pos="2340"/>
        </w:tabs>
        <w:spacing w:after="200"/>
        <w:contextualSpacing/>
        <w:jc w:val="both"/>
        <w:rPr>
          <w:rFonts w:cs="Arial"/>
          <w:b/>
          <w:u w:val="single"/>
        </w:rPr>
      </w:pPr>
      <w:r w:rsidRPr="00071589">
        <w:rPr>
          <w:rFonts w:cs="Arial"/>
          <w:b/>
          <w:bCs/>
          <w:u w:val="single"/>
        </w:rPr>
        <w:t xml:space="preserve">Parking lots shall be arranged to allow interconnection with adjoining residential or commercial properties to the extent possible, to reduce curb cuts and to allow mutual and reciprocal use parking spaces. </w:t>
      </w:r>
    </w:p>
    <w:p w14:paraId="21E4B2A4" w14:textId="77777777" w:rsidR="00AA30FF" w:rsidRPr="00071589" w:rsidRDefault="00AA30FF" w:rsidP="00AA30FF">
      <w:pPr>
        <w:numPr>
          <w:ilvl w:val="0"/>
          <w:numId w:val="6"/>
        </w:numPr>
        <w:tabs>
          <w:tab w:val="left" w:pos="360"/>
          <w:tab w:val="left" w:pos="900"/>
          <w:tab w:val="left" w:pos="1170"/>
          <w:tab w:val="left" w:pos="1710"/>
          <w:tab w:val="left" w:pos="1980"/>
          <w:tab w:val="left" w:pos="2340"/>
        </w:tabs>
        <w:spacing w:after="200"/>
        <w:contextualSpacing/>
        <w:jc w:val="both"/>
        <w:rPr>
          <w:rFonts w:cs="Arial"/>
          <w:b/>
          <w:u w:val="single"/>
        </w:rPr>
      </w:pPr>
      <w:r w:rsidRPr="00071589">
        <w:rPr>
          <w:rFonts w:cs="Arial"/>
          <w:b/>
          <w:bCs/>
          <w:u w:val="single"/>
        </w:rPr>
        <w:t xml:space="preserve">Service yards and refuse storage areas shall be screened to preserve the streetscape and shall include trees, shrubs, lawns, ornamental fencing, walls, and gravel where appropriate.  </w:t>
      </w:r>
    </w:p>
    <w:p w14:paraId="5DA60283" w14:textId="77777777" w:rsidR="00AA30FF" w:rsidRPr="00071589" w:rsidRDefault="00AA30FF" w:rsidP="00AA30FF">
      <w:pPr>
        <w:numPr>
          <w:ilvl w:val="0"/>
          <w:numId w:val="6"/>
        </w:numPr>
        <w:tabs>
          <w:tab w:val="left" w:pos="360"/>
          <w:tab w:val="left" w:pos="900"/>
          <w:tab w:val="left" w:pos="1170"/>
          <w:tab w:val="left" w:pos="1710"/>
          <w:tab w:val="left" w:pos="1980"/>
          <w:tab w:val="left" w:pos="2340"/>
        </w:tabs>
        <w:spacing w:after="200"/>
        <w:contextualSpacing/>
        <w:jc w:val="both"/>
        <w:rPr>
          <w:rFonts w:cs="Arial"/>
          <w:b/>
          <w:u w:val="single"/>
        </w:rPr>
      </w:pPr>
      <w:r w:rsidRPr="00071589">
        <w:rPr>
          <w:rFonts w:cs="Arial"/>
          <w:b/>
          <w:bCs/>
          <w:u w:val="single"/>
        </w:rPr>
        <w:t xml:space="preserve">Landscaping plans for new development projects shall be prepared by a licensed landscape architect, and plant materials shall be selected to enhance the building setting and the pedestrian environment.  </w:t>
      </w:r>
    </w:p>
    <w:p w14:paraId="44BB39A0" w14:textId="77777777" w:rsidR="00AA30FF" w:rsidRPr="00071589" w:rsidRDefault="00AA30FF" w:rsidP="00AA30FF">
      <w:pPr>
        <w:tabs>
          <w:tab w:val="left" w:pos="360"/>
          <w:tab w:val="left" w:pos="900"/>
          <w:tab w:val="left" w:pos="1170"/>
          <w:tab w:val="left" w:pos="1710"/>
          <w:tab w:val="left" w:pos="1980"/>
          <w:tab w:val="left" w:pos="2340"/>
        </w:tabs>
        <w:spacing w:after="200"/>
        <w:contextualSpacing/>
        <w:jc w:val="both"/>
        <w:rPr>
          <w:rFonts w:cs="Arial"/>
          <w:b/>
          <w:bCs/>
          <w:u w:val="single"/>
        </w:rPr>
      </w:pPr>
    </w:p>
    <w:p w14:paraId="5D9E8764" w14:textId="77777777" w:rsidR="00AA30FF" w:rsidRPr="00071589" w:rsidRDefault="00AA30FF" w:rsidP="00AA30FF">
      <w:pPr>
        <w:widowControl w:val="0"/>
        <w:numPr>
          <w:ilvl w:val="0"/>
          <w:numId w:val="7"/>
        </w:numPr>
        <w:autoSpaceDE w:val="0"/>
        <w:autoSpaceDN w:val="0"/>
        <w:adjustRightInd w:val="0"/>
        <w:rPr>
          <w:rFonts w:cs="Arial"/>
          <w:b/>
          <w:bCs/>
          <w:u w:val="single"/>
        </w:rPr>
      </w:pPr>
      <w:r w:rsidRPr="00071589">
        <w:rPr>
          <w:rFonts w:cs="Arial"/>
          <w:b/>
          <w:bCs/>
          <w:u w:val="single"/>
        </w:rPr>
        <w:t>See Section 7.0 of these Regulations for additional provisions related to parking, loading, landscaping, signage, and other standards.</w:t>
      </w:r>
    </w:p>
    <w:p w14:paraId="25BCE01F" w14:textId="77777777" w:rsidR="00236FC8" w:rsidRPr="00071589" w:rsidRDefault="00236FC8">
      <w:pPr>
        <w:rPr>
          <w:b/>
          <w:u w:val="single"/>
        </w:rPr>
      </w:pPr>
    </w:p>
    <w:sectPr w:rsidR="00236FC8" w:rsidRPr="00071589" w:rsidSect="00537369">
      <w:footerReference w:type="even" r:id="rId7"/>
      <w:footerReference w:type="default" r:id="rId8"/>
      <w:headerReference w:type="first" r:id="rId9"/>
      <w:pgSz w:w="12240" w:h="15840"/>
      <w:pgMar w:top="1440" w:right="1800" w:bottom="1260" w:left="1800" w:header="720" w:footer="720" w:gutter="0"/>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65521" w14:textId="77777777" w:rsidR="00511C69" w:rsidRDefault="0088476E">
      <w:r>
        <w:separator/>
      </w:r>
    </w:p>
  </w:endnote>
  <w:endnote w:type="continuationSeparator" w:id="0">
    <w:p w14:paraId="198F7604" w14:textId="77777777" w:rsidR="00511C69" w:rsidRDefault="00884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01850" w14:textId="77777777" w:rsidR="00FA5BC9" w:rsidRDefault="004B71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0194D3" w14:textId="77777777" w:rsidR="00FA5BC9" w:rsidRDefault="00AF51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7B859" w14:textId="77777777" w:rsidR="00FA5BC9" w:rsidRDefault="004B71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476E">
      <w:rPr>
        <w:rStyle w:val="PageNumber"/>
        <w:noProof/>
      </w:rPr>
      <w:t>3</w:t>
    </w:r>
    <w:r>
      <w:rPr>
        <w:rStyle w:val="PageNumber"/>
      </w:rPr>
      <w:fldChar w:fldCharType="end"/>
    </w:r>
  </w:p>
  <w:p w14:paraId="585811E9" w14:textId="77777777" w:rsidR="00FA5BC9" w:rsidRDefault="00AF51B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EC21A" w14:textId="77777777" w:rsidR="00511C69" w:rsidRDefault="0088476E">
      <w:r>
        <w:separator/>
      </w:r>
    </w:p>
  </w:footnote>
  <w:footnote w:type="continuationSeparator" w:id="0">
    <w:p w14:paraId="0F0BD69B" w14:textId="77777777" w:rsidR="00511C69" w:rsidRDefault="00884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13935" w14:textId="77777777" w:rsidR="00FA5BC9" w:rsidRPr="00430328" w:rsidRDefault="004B7156" w:rsidP="00537369">
    <w:pPr>
      <w:jc w:val="center"/>
      <w:rPr>
        <w:b/>
        <w:bCs/>
        <w:color w:val="365F91"/>
        <w:sz w:val="32"/>
      </w:rPr>
    </w:pPr>
    <w:r>
      <w:rPr>
        <w:b/>
        <w:bCs/>
        <w:noProof/>
        <w:color w:val="365F91"/>
        <w:sz w:val="32"/>
      </w:rPr>
      <w:drawing>
        <wp:anchor distT="0" distB="0" distL="114300" distR="114300" simplePos="0" relativeHeight="251659264" behindDoc="0" locked="0" layoutInCell="1" allowOverlap="0" wp14:anchorId="127647F7" wp14:editId="5EB39BAE">
          <wp:simplePos x="0" y="0"/>
          <wp:positionH relativeFrom="column">
            <wp:posOffset>0</wp:posOffset>
          </wp:positionH>
          <wp:positionV relativeFrom="paragraph">
            <wp:posOffset>-138430</wp:posOffset>
          </wp:positionV>
          <wp:extent cx="809625" cy="809625"/>
          <wp:effectExtent l="0" t="0" r="0" b="0"/>
          <wp:wrapSquare wrapText="bothSides"/>
          <wp:docPr id="6" name="Picture 6" descr="Color 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 Tow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328">
      <w:rPr>
        <w:b/>
        <w:bCs/>
        <w:color w:val="365F91"/>
        <w:sz w:val="32"/>
      </w:rPr>
      <w:t xml:space="preserve">TOWN OF </w:t>
    </w:r>
    <w:smartTag w:uri="urn:schemas-microsoft-com:office:smarttags" w:element="City">
      <w:smartTag w:uri="urn:schemas-microsoft-com:office:smarttags" w:element="place">
        <w:r w:rsidRPr="00430328">
          <w:rPr>
            <w:b/>
            <w:bCs/>
            <w:color w:val="365F91"/>
            <w:sz w:val="32"/>
          </w:rPr>
          <w:t>RIDGEFIELD</w:t>
        </w:r>
      </w:smartTag>
    </w:smartTag>
  </w:p>
  <w:p w14:paraId="4F4C7ED2" w14:textId="77777777" w:rsidR="00FA5BC9" w:rsidRPr="00F17011" w:rsidRDefault="004B7156" w:rsidP="00537369">
    <w:pPr>
      <w:pStyle w:val="Header"/>
      <w:jc w:val="center"/>
      <w:rPr>
        <w:sz w:val="32"/>
        <w:szCs w:val="32"/>
      </w:rPr>
    </w:pPr>
    <w:r w:rsidRPr="00F17011">
      <w:rPr>
        <w:color w:val="365F91"/>
        <w:sz w:val="32"/>
        <w:szCs w:val="32"/>
      </w:rPr>
      <w:t>Planning and Zoning Department</w:t>
    </w:r>
  </w:p>
  <w:p w14:paraId="44AA0C97" w14:textId="77777777" w:rsidR="00FA5BC9" w:rsidRDefault="00AF51B0" w:rsidP="00537369">
    <w:pPr>
      <w:pStyle w:val="Header"/>
    </w:pPr>
  </w:p>
  <w:p w14:paraId="4AB1CF93" w14:textId="77777777" w:rsidR="00FA5BC9" w:rsidRPr="00137BC2" w:rsidRDefault="00AF51B0" w:rsidP="00537369">
    <w:pPr>
      <w:pStyle w:val="Header"/>
    </w:pPr>
  </w:p>
  <w:p w14:paraId="227528A0" w14:textId="77777777" w:rsidR="00FA5BC9" w:rsidRDefault="00AF51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01D5"/>
    <w:multiLevelType w:val="multilevel"/>
    <w:tmpl w:val="740A04BA"/>
    <w:lvl w:ilvl="0">
      <w:start w:val="5"/>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5310"/>
        </w:tabs>
        <w:ind w:left="5310" w:hanging="720"/>
      </w:pPr>
      <w:rPr>
        <w:rFonts w:hint="default"/>
      </w:rPr>
    </w:lvl>
    <w:lvl w:ilvl="2">
      <w:start w:val="1"/>
      <w:numFmt w:val="upperLetter"/>
      <w:pStyle w:val="Heading3"/>
      <w:lvlText w:val="%3."/>
      <w:lvlJc w:val="left"/>
      <w:pPr>
        <w:tabs>
          <w:tab w:val="num" w:pos="630"/>
        </w:tabs>
        <w:ind w:left="1350" w:hanging="720"/>
      </w:pPr>
      <w:rPr>
        <w:rFonts w:hint="default"/>
      </w:rPr>
    </w:lvl>
    <w:lvl w:ilvl="3">
      <w:start w:val="1"/>
      <w:numFmt w:val="decimal"/>
      <w:lvlText w:val="%4."/>
      <w:lvlJc w:val="left"/>
      <w:pPr>
        <w:tabs>
          <w:tab w:val="num" w:pos="0"/>
        </w:tabs>
        <w:ind w:left="360" w:hanging="360"/>
      </w:pPr>
      <w:rPr>
        <w:rFonts w:hint="default"/>
      </w:rPr>
    </w:lvl>
    <w:lvl w:ilvl="4">
      <w:start w:val="1"/>
      <w:numFmt w:val="lowerLetter"/>
      <w:lvlText w:val="%5."/>
      <w:lvlJc w:val="left"/>
      <w:pPr>
        <w:tabs>
          <w:tab w:val="num" w:pos="360"/>
        </w:tabs>
        <w:ind w:left="720" w:hanging="360"/>
      </w:pPr>
      <w:rPr>
        <w:rFonts w:hint="default"/>
      </w:rPr>
    </w:lvl>
    <w:lvl w:ilvl="5">
      <w:start w:val="1"/>
      <w:numFmt w:val="lowerRoman"/>
      <w:lvlText w:val="%6."/>
      <w:lvlJc w:val="left"/>
      <w:pPr>
        <w:tabs>
          <w:tab w:val="num" w:pos="360"/>
        </w:tabs>
        <w:ind w:left="1080" w:hanging="360"/>
      </w:pPr>
      <w:rPr>
        <w:rFonts w:hint="default"/>
      </w:rPr>
    </w:lvl>
    <w:lvl w:ilvl="6">
      <w:start w:val="1"/>
      <w:numFmt w:val="lowerRoman"/>
      <w:lvlText w:val="%7."/>
      <w:lvlJc w:val="left"/>
      <w:pPr>
        <w:tabs>
          <w:tab w:val="num" w:pos="0"/>
        </w:tabs>
        <w:ind w:left="1440" w:hanging="720"/>
      </w:pPr>
      <w:rPr>
        <w:rFonts w:hint="default"/>
      </w:rPr>
    </w:lvl>
    <w:lvl w:ilvl="7">
      <w:start w:val="1"/>
      <w:numFmt w:val="lowerLetter"/>
      <w:lvlText w:val="(%8)"/>
      <w:lvlJc w:val="left"/>
      <w:pPr>
        <w:tabs>
          <w:tab w:val="num" w:pos="0"/>
        </w:tabs>
        <w:ind w:left="4680" w:hanging="720"/>
      </w:pPr>
      <w:rPr>
        <w:rFonts w:hint="default"/>
      </w:rPr>
    </w:lvl>
    <w:lvl w:ilvl="8">
      <w:start w:val="1"/>
      <w:numFmt w:val="lowerRoman"/>
      <w:lvlText w:val="(%9)"/>
      <w:lvlJc w:val="left"/>
      <w:pPr>
        <w:tabs>
          <w:tab w:val="num" w:pos="0"/>
        </w:tabs>
        <w:ind w:left="5400" w:hanging="720"/>
      </w:pPr>
      <w:rPr>
        <w:rFonts w:hint="default"/>
      </w:rPr>
    </w:lvl>
  </w:abstractNum>
  <w:abstractNum w:abstractNumId="1" w15:restartNumberingAfterBreak="0">
    <w:nsid w:val="29277997"/>
    <w:multiLevelType w:val="hybridMultilevel"/>
    <w:tmpl w:val="2AE85D6C"/>
    <w:lvl w:ilvl="0" w:tplc="CC0EC7CA">
      <w:start w:val="1"/>
      <w:numFmt w:val="lowerLetter"/>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E93251"/>
    <w:multiLevelType w:val="hybridMultilevel"/>
    <w:tmpl w:val="00FE5884"/>
    <w:lvl w:ilvl="0" w:tplc="6DE8C718">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B93E80"/>
    <w:multiLevelType w:val="hybridMultilevel"/>
    <w:tmpl w:val="564069E0"/>
    <w:lvl w:ilvl="0" w:tplc="FFFFFFF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E877D8"/>
    <w:multiLevelType w:val="hybridMultilevel"/>
    <w:tmpl w:val="3516E302"/>
    <w:lvl w:ilvl="0" w:tplc="04090019">
      <w:start w:val="1"/>
      <w:numFmt w:val="lowerLetter"/>
      <w:lvlText w:val="%1."/>
      <w:lvlJc w:val="lef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EA6597"/>
    <w:multiLevelType w:val="hybridMultilevel"/>
    <w:tmpl w:val="6C94C0B0"/>
    <w:lvl w:ilvl="0" w:tplc="CB16B9CC">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DD6617"/>
    <w:multiLevelType w:val="hybridMultilevel"/>
    <w:tmpl w:val="F3DCDD3A"/>
    <w:lvl w:ilvl="0" w:tplc="A678F2DA">
      <w:start w:val="3"/>
      <w:numFmt w:val="upperLetter"/>
      <w:lvlText w:val="%1."/>
      <w:lvlJc w:val="left"/>
      <w:pPr>
        <w:tabs>
          <w:tab w:val="num" w:pos="1440"/>
        </w:tabs>
        <w:ind w:left="1440" w:hanging="360"/>
      </w:pPr>
      <w:rPr>
        <w:rFonts w:ascii="Arial" w:eastAsia="Calibri"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5"/>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0FF"/>
    <w:rsid w:val="00071589"/>
    <w:rsid w:val="00122149"/>
    <w:rsid w:val="00236FC8"/>
    <w:rsid w:val="004B7156"/>
    <w:rsid w:val="00511C69"/>
    <w:rsid w:val="0088476E"/>
    <w:rsid w:val="00AA30FF"/>
    <w:rsid w:val="00C73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BF68C50"/>
  <w15:chartTrackingRefBased/>
  <w15:docId w15:val="{DBA6CF7D-C259-4091-8778-B97DD372C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0FF"/>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AA30FF"/>
    <w:pPr>
      <w:numPr>
        <w:numId w:val="1"/>
      </w:numPr>
      <w:pBdr>
        <w:bottom w:val="single" w:sz="4" w:space="1" w:color="auto"/>
      </w:pBdr>
      <w:outlineLvl w:val="0"/>
    </w:pPr>
    <w:rPr>
      <w:b/>
      <w:sz w:val="32"/>
      <w:szCs w:val="32"/>
    </w:rPr>
  </w:style>
  <w:style w:type="paragraph" w:styleId="Heading2">
    <w:name w:val="heading 2"/>
    <w:basedOn w:val="Normal"/>
    <w:next w:val="Normal"/>
    <w:link w:val="Heading2Char"/>
    <w:qFormat/>
    <w:rsid w:val="00AA30FF"/>
    <w:pPr>
      <w:widowControl w:val="0"/>
      <w:numPr>
        <w:ilvl w:val="1"/>
        <w:numId w:val="1"/>
      </w:numPr>
      <w:tabs>
        <w:tab w:val="clear" w:pos="5310"/>
        <w:tab w:val="num" w:pos="720"/>
      </w:tabs>
      <w:ind w:left="720"/>
      <w:outlineLvl w:val="1"/>
    </w:pPr>
    <w:rPr>
      <w:rFonts w:cs="Arial"/>
      <w:b/>
      <w:bCs/>
      <w:i/>
      <w:iCs/>
      <w:sz w:val="28"/>
      <w:szCs w:val="28"/>
    </w:rPr>
  </w:style>
  <w:style w:type="paragraph" w:styleId="Heading3">
    <w:name w:val="heading 3"/>
    <w:basedOn w:val="Normal"/>
    <w:next w:val="Normal"/>
    <w:link w:val="Heading3Char"/>
    <w:qFormat/>
    <w:rsid w:val="00AA30FF"/>
    <w:pPr>
      <w:keepNext/>
      <w:numPr>
        <w:ilvl w:val="2"/>
        <w:numId w:val="1"/>
      </w:numPr>
      <w:outlineLvl w:val="2"/>
    </w:pPr>
    <w:rPr>
      <w:rFonts w:cs="Arial"/>
      <w:b/>
      <w:bCs/>
      <w:caps/>
      <w:color w:val="FF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30FF"/>
    <w:rPr>
      <w:rFonts w:ascii="Arial" w:eastAsia="Times New Roman" w:hAnsi="Arial" w:cs="Times New Roman"/>
      <w:b/>
      <w:sz w:val="32"/>
      <w:szCs w:val="32"/>
    </w:rPr>
  </w:style>
  <w:style w:type="character" w:customStyle="1" w:styleId="Heading2Char">
    <w:name w:val="Heading 2 Char"/>
    <w:basedOn w:val="DefaultParagraphFont"/>
    <w:link w:val="Heading2"/>
    <w:rsid w:val="00AA30FF"/>
    <w:rPr>
      <w:rFonts w:ascii="Arial" w:eastAsia="Times New Roman" w:hAnsi="Arial" w:cs="Arial"/>
      <w:b/>
      <w:bCs/>
      <w:i/>
      <w:iCs/>
      <w:sz w:val="28"/>
      <w:szCs w:val="28"/>
    </w:rPr>
  </w:style>
  <w:style w:type="character" w:customStyle="1" w:styleId="Heading3Char">
    <w:name w:val="Heading 3 Char"/>
    <w:basedOn w:val="DefaultParagraphFont"/>
    <w:link w:val="Heading3"/>
    <w:rsid w:val="00AA30FF"/>
    <w:rPr>
      <w:rFonts w:ascii="Arial" w:eastAsia="Times New Roman" w:hAnsi="Arial" w:cs="Arial"/>
      <w:b/>
      <w:bCs/>
      <w:caps/>
      <w:color w:val="FF0000"/>
      <w:sz w:val="18"/>
      <w:szCs w:val="18"/>
    </w:rPr>
  </w:style>
  <w:style w:type="paragraph" w:styleId="Footer">
    <w:name w:val="footer"/>
    <w:basedOn w:val="Normal"/>
    <w:link w:val="FooterChar"/>
    <w:rsid w:val="00AA30FF"/>
    <w:pPr>
      <w:tabs>
        <w:tab w:val="center" w:pos="4320"/>
        <w:tab w:val="right" w:pos="8640"/>
      </w:tabs>
    </w:pPr>
    <w:rPr>
      <w:szCs w:val="24"/>
    </w:rPr>
  </w:style>
  <w:style w:type="character" w:customStyle="1" w:styleId="FooterChar">
    <w:name w:val="Footer Char"/>
    <w:basedOn w:val="DefaultParagraphFont"/>
    <w:link w:val="Footer"/>
    <w:rsid w:val="00AA30FF"/>
    <w:rPr>
      <w:rFonts w:ascii="Arial" w:eastAsia="Times New Roman" w:hAnsi="Arial" w:cs="Times New Roman"/>
      <w:sz w:val="20"/>
      <w:szCs w:val="24"/>
    </w:rPr>
  </w:style>
  <w:style w:type="character" w:styleId="PageNumber">
    <w:name w:val="page number"/>
    <w:rsid w:val="00AA30FF"/>
    <w:rPr>
      <w:rFonts w:ascii="Arial" w:hAnsi="Arial"/>
      <w:sz w:val="28"/>
    </w:rPr>
  </w:style>
  <w:style w:type="paragraph" w:styleId="Header">
    <w:name w:val="header"/>
    <w:basedOn w:val="Normal"/>
    <w:link w:val="HeaderChar"/>
    <w:rsid w:val="00AA30FF"/>
    <w:pPr>
      <w:tabs>
        <w:tab w:val="center" w:pos="4320"/>
        <w:tab w:val="right" w:pos="8640"/>
      </w:tabs>
    </w:pPr>
    <w:rPr>
      <w:szCs w:val="24"/>
    </w:rPr>
  </w:style>
  <w:style w:type="character" w:customStyle="1" w:styleId="HeaderChar">
    <w:name w:val="Header Char"/>
    <w:basedOn w:val="DefaultParagraphFont"/>
    <w:link w:val="Header"/>
    <w:rsid w:val="00AA30FF"/>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0715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58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Martin</dc:creator>
  <cp:keywords/>
  <dc:description/>
  <cp:lastModifiedBy>Kelly Ryan</cp:lastModifiedBy>
  <cp:revision>2</cp:revision>
  <cp:lastPrinted>2021-09-15T13:56:00Z</cp:lastPrinted>
  <dcterms:created xsi:type="dcterms:W3CDTF">2022-03-21T14:47:00Z</dcterms:created>
  <dcterms:modified xsi:type="dcterms:W3CDTF">2022-03-21T14:47:00Z</dcterms:modified>
</cp:coreProperties>
</file>